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2C7D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Autospacing="0" w:after="0" w:afterAutospacing="0" w:line="54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C730E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/>
          <w:lang w:val="en-US" w:eastAsia="zh-Hans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Hans"/>
        </w:rPr>
        <w:t>附件</w:t>
      </w:r>
      <w:r>
        <w:rPr>
          <w:rFonts w:hint="eastAsia" w:ascii="黑体" w:hAnsi="黑体" w:eastAsia="黑体" w:cs="黑体"/>
          <w:sz w:val="44"/>
          <w:szCs w:val="44"/>
          <w:lang w:eastAsia="zh-Hans"/>
        </w:rPr>
        <w:t>1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：</w:t>
      </w:r>
      <w:r>
        <w:rPr>
          <w:rFonts w:hint="eastAsia" w:ascii="黑体" w:hAnsi="黑体" w:eastAsia="黑体" w:cs="黑体"/>
          <w:kern w:val="0"/>
          <w:sz w:val="44"/>
          <w:szCs w:val="44"/>
          <w:highlight w:val="none"/>
          <w:lang w:val="en-US" w:eastAsia="zh-CN"/>
        </w:rPr>
        <w:t>《</w:t>
      </w:r>
      <w:r>
        <w:rPr>
          <w:rFonts w:hint="eastAsia" w:ascii="黑体" w:hAnsi="黑体" w:eastAsia="黑体" w:cs="黑体"/>
          <w:kern w:val="0"/>
          <w:sz w:val="44"/>
          <w:szCs w:val="44"/>
          <w:highlight w:val="none"/>
          <w:lang w:val="en-US" w:eastAsia="zh-Hans"/>
        </w:rPr>
        <w:t>绿色通道业务系统</w:t>
      </w:r>
      <w:r>
        <w:rPr>
          <w:rFonts w:hint="eastAsia" w:ascii="黑体" w:hAnsi="黑体" w:eastAsia="黑体" w:cs="黑体"/>
          <w:kern w:val="0"/>
          <w:sz w:val="44"/>
          <w:szCs w:val="44"/>
          <w:highlight w:val="none"/>
          <w:lang w:val="en-US" w:eastAsia="zh-CN"/>
        </w:rPr>
        <w:t>操作手册》</w:t>
      </w:r>
    </w:p>
    <w:bookmarkEnd w:id="0"/>
    <w:p w14:paraId="1D16AAB4">
      <w:pPr>
        <w:pStyle w:val="2"/>
        <w:bidi w:val="0"/>
        <w:jc w:val="center"/>
        <w:rPr>
          <w:rFonts w:hint="eastAsia"/>
          <w:sz w:val="32"/>
          <w:szCs w:val="20"/>
          <w:lang w:val="en-US" w:eastAsia="zh-CN"/>
        </w:rPr>
      </w:pPr>
      <w:r>
        <w:rPr>
          <w:rFonts w:hint="eastAsia"/>
          <w:sz w:val="32"/>
          <w:szCs w:val="20"/>
          <w:lang w:val="en-US" w:eastAsia="zh-Hans"/>
        </w:rPr>
        <w:t>第一章</w:t>
      </w:r>
      <w:r>
        <w:rPr>
          <w:rFonts w:hint="default"/>
          <w:sz w:val="32"/>
          <w:szCs w:val="20"/>
          <w:lang w:eastAsia="zh-Hans"/>
        </w:rPr>
        <w:t xml:space="preserve"> </w:t>
      </w:r>
      <w:r>
        <w:rPr>
          <w:rFonts w:hint="eastAsia"/>
          <w:sz w:val="32"/>
          <w:szCs w:val="20"/>
          <w:lang w:val="en-US" w:eastAsia="zh-CN"/>
        </w:rPr>
        <w:t>绿色通道业务系统操作手册（学生）</w:t>
      </w:r>
    </w:p>
    <w:p w14:paraId="1F54ED69">
      <w:pPr>
        <w:numPr>
          <w:ilvl w:val="0"/>
          <w:numId w:val="1"/>
        </w:numPr>
        <w:rPr>
          <w:rFonts w:hint="default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登录系统，点击奖助管理模块，进入绿色通道申请菜单，</w:t>
      </w:r>
      <w:r>
        <w:rPr>
          <w:rFonts w:hint="eastAsia"/>
          <w:sz w:val="24"/>
          <w:szCs w:val="24"/>
          <w:highlight w:val="none"/>
          <w:lang w:val="en-US" w:eastAsia="zh-CN"/>
        </w:rPr>
        <w:t>选择当前年度的数据点击申请按钮进入申请页面</w:t>
      </w:r>
      <w:r>
        <w:rPr>
          <w:rFonts w:hint="eastAsia"/>
          <w:sz w:val="24"/>
          <w:szCs w:val="24"/>
          <w:lang w:val="en-US" w:eastAsia="zh-CN"/>
        </w:rPr>
        <w:t>（图1.1）</w:t>
      </w:r>
      <w:r>
        <w:rPr>
          <w:rFonts w:hint="eastAsia"/>
          <w:sz w:val="24"/>
          <w:szCs w:val="24"/>
          <w:highlight w:val="none"/>
          <w:lang w:val="en-US" w:eastAsia="zh-CN"/>
        </w:rPr>
        <w:t>。</w:t>
      </w:r>
    </w:p>
    <w:p w14:paraId="75321EDD">
      <w:pPr>
        <w:numPr>
          <w:ilvl w:val="0"/>
          <w:numId w:val="0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104765" cy="2552700"/>
            <wp:effectExtent l="0" t="0" r="635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33E0B">
      <w:pPr>
        <w:numPr>
          <w:ilvl w:val="0"/>
          <w:numId w:val="0"/>
        </w:numPr>
        <w:ind w:leftChars="0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图1.1</w:t>
      </w:r>
    </w:p>
    <w:p w14:paraId="064ADA65">
      <w:pPr>
        <w:numPr>
          <w:ilvl w:val="0"/>
          <w:numId w:val="0"/>
        </w:numPr>
        <w:ind w:leftChars="0"/>
        <w:rPr>
          <w:rFonts w:hint="default"/>
          <w:sz w:val="24"/>
          <w:szCs w:val="24"/>
          <w:lang w:val="en-US" w:eastAsia="zh-CN"/>
        </w:rPr>
      </w:pPr>
    </w:p>
    <w:p w14:paraId="18DDBC76">
      <w:pPr>
        <w:numPr>
          <w:ilvl w:val="0"/>
          <w:numId w:val="0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2.填写申请理由后点击提交按钮则完成申请，若有相关申请文件也可进行上传（非必传），若已提交困难认定申请，则可进入申请页面直接点击提交按钮完成提交（图1.2）。</w:t>
      </w:r>
      <w:r>
        <w:rPr>
          <w:sz w:val="24"/>
          <w:szCs w:val="24"/>
        </w:rPr>
        <w:drawing>
          <wp:inline distT="0" distB="0" distL="114300" distR="114300">
            <wp:extent cx="4800600" cy="2400300"/>
            <wp:effectExtent l="0" t="0" r="0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2880E">
      <w:pPr>
        <w:numPr>
          <w:ilvl w:val="0"/>
          <w:numId w:val="0"/>
        </w:numPr>
        <w:ind w:leftChars="0"/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图1.2</w:t>
      </w:r>
    </w:p>
    <w:p w14:paraId="636E7AFE">
      <w:pPr>
        <w:numPr>
          <w:ilvl w:val="0"/>
          <w:numId w:val="0"/>
        </w:numPr>
        <w:ind w:leftChars="0"/>
        <w:jc w:val="center"/>
        <w:rPr>
          <w:rFonts w:hint="default"/>
          <w:sz w:val="24"/>
          <w:szCs w:val="24"/>
          <w:lang w:val="en-US" w:eastAsia="zh-CN"/>
        </w:rPr>
      </w:pPr>
    </w:p>
    <w:p w14:paraId="1B0A824D">
      <w:pPr>
        <w:numPr>
          <w:ilvl w:val="0"/>
          <w:numId w:val="0"/>
        </w:numPr>
        <w:ind w:leftChars="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3.提交后，数据状态将变为已提交，等待审核结果即可，完成审核后，列表将会展示获得的补助类型。（图1.3）</w:t>
      </w:r>
    </w:p>
    <w:p w14:paraId="7C8ADEB6">
      <w:pPr>
        <w:numPr>
          <w:ilvl w:val="0"/>
          <w:numId w:val="0"/>
        </w:numPr>
        <w:ind w:leftChars="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6690" cy="2633345"/>
            <wp:effectExtent l="0" t="0" r="6350" b="317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06FB8">
      <w:pPr>
        <w:numPr>
          <w:ilvl w:val="0"/>
          <w:numId w:val="0"/>
        </w:numPr>
        <w:ind w:leftChars="0"/>
        <w:jc w:val="center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图1.3</w:t>
      </w:r>
    </w:p>
    <w:p w14:paraId="110C9D9D">
      <w:pPr>
        <w:pStyle w:val="2"/>
        <w:bidi w:val="0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Hans"/>
        </w:rPr>
        <w:t>第二章</w:t>
      </w:r>
      <w:r>
        <w:rPr>
          <w:rFonts w:hint="default"/>
          <w:sz w:val="32"/>
          <w:szCs w:val="32"/>
          <w:lang w:eastAsia="zh-Hans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>绿色通道业务系统操作手册（审核人）</w:t>
      </w:r>
    </w:p>
    <w:p w14:paraId="3C6F0732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1.登录系统，点击奖助管理模块，进入绿色通道审核菜单，选择当前年度的审核任务，点击查看学生申请列表按钮（图2.10）。</w:t>
      </w:r>
    </w:p>
    <w:p w14:paraId="0A73E5C7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66690" cy="2633345"/>
            <wp:effectExtent l="0" t="0" r="6350" b="3175"/>
            <wp:docPr id="503672395" name="图片 503672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72395" name="图片 50367239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2CA41"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图2.1</w:t>
      </w:r>
    </w:p>
    <w:p w14:paraId="6C55D39C">
      <w:pPr>
        <w:jc w:val="center"/>
        <w:rPr>
          <w:rFonts w:hint="eastAsia" w:ascii="宋体" w:hAnsi="宋体" w:eastAsia="宋体"/>
          <w:sz w:val="24"/>
          <w:szCs w:val="24"/>
        </w:rPr>
      </w:pPr>
    </w:p>
    <w:p w14:paraId="33A40A20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2.查看学生申请信息，若学生已完成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本学年</w:t>
      </w:r>
      <w:r>
        <w:rPr>
          <w:rFonts w:hint="eastAsia" w:ascii="宋体" w:hAnsi="宋体" w:eastAsia="宋体"/>
          <w:sz w:val="24"/>
          <w:szCs w:val="24"/>
        </w:rPr>
        <w:t>困难认定申请，此处可联动查看学生困难认定问卷得分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问卷得分可作为补助分配参考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选择要审核的学生信息，点击审核按钮（图2.11）</w:t>
      </w:r>
      <w:r>
        <w:rPr>
          <w:rFonts w:ascii="宋体" w:hAnsi="宋体" w:eastAsia="宋体"/>
          <w:sz w:val="24"/>
          <w:szCs w:val="24"/>
        </w:rPr>
        <w:t>。</w:t>
      </w:r>
    </w:p>
    <w:p w14:paraId="37252A3E">
      <w:pPr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66690" cy="2633345"/>
            <wp:effectExtent l="0" t="0" r="6350" b="3175"/>
            <wp:docPr id="987897867" name="图片 987897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97867" name="图片 98789786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26457">
      <w:pPr>
        <w:jc w:val="center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图2.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</w:t>
      </w:r>
    </w:p>
    <w:p w14:paraId="4D6032F3">
      <w:pPr>
        <w:rPr>
          <w:rFonts w:hint="eastAsia" w:ascii="宋体" w:hAnsi="宋体" w:eastAsia="宋体"/>
          <w:sz w:val="24"/>
          <w:szCs w:val="24"/>
        </w:rPr>
      </w:pPr>
    </w:p>
    <w:p w14:paraId="7E8F69D8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3.进入审核页面，选择审核结果以及对该生分配的补助类型，分配完成后，点击提交按钮完成本级审核</w:t>
      </w:r>
      <w:r>
        <w:rPr>
          <w:rFonts w:ascii="宋体" w:hAnsi="宋体" w:eastAsia="宋体"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</w:rPr>
        <w:t>审核页面可实时查看当前各补助类型剩余可分配的名额数量，若名额为0，则不可再给本院</w:t>
      </w:r>
      <w:r>
        <w:rPr>
          <w:rFonts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</w:rPr>
        <w:t>系</w:t>
      </w:r>
      <w:r>
        <w:rPr>
          <w:rFonts w:ascii="宋体" w:hAnsi="宋体" w:eastAsia="宋体"/>
          <w:sz w:val="24"/>
          <w:szCs w:val="24"/>
        </w:rPr>
        <w:t>）</w:t>
      </w:r>
      <w:r>
        <w:rPr>
          <w:rFonts w:hint="eastAsia" w:ascii="宋体" w:hAnsi="宋体" w:eastAsia="宋体"/>
          <w:sz w:val="24"/>
          <w:szCs w:val="24"/>
        </w:rPr>
        <w:t>学生分配该类型（图2.12）</w:t>
      </w:r>
      <w:r>
        <w:rPr>
          <w:rFonts w:ascii="宋体" w:hAnsi="宋体" w:eastAsia="宋体"/>
          <w:sz w:val="24"/>
          <w:szCs w:val="24"/>
        </w:rPr>
        <w:t>。</w:t>
      </w:r>
    </w:p>
    <w:p w14:paraId="3038A7D6"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3076575" cy="3714750"/>
            <wp:effectExtent l="0" t="0" r="1905" b="3810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C6DF1">
      <w:pPr>
        <w:jc w:val="center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图2.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3</w:t>
      </w:r>
    </w:p>
    <w:p w14:paraId="497294BC">
      <w:pPr>
        <w:rPr>
          <w:rFonts w:hint="eastAsia" w:ascii="宋体" w:hAnsi="宋体" w:eastAsia="宋体"/>
          <w:sz w:val="24"/>
          <w:szCs w:val="24"/>
        </w:rPr>
      </w:pPr>
    </w:p>
    <w:p w14:paraId="4BC0D680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4.学校负责人可对学生申请数据进行批量审核，勾选要审核的学生后点击批量审核按钮，确认批量审核后，审核结果与分配的补助类型将采用上一级意见（图2.13）</w:t>
      </w:r>
      <w:r>
        <w:rPr>
          <w:rFonts w:ascii="宋体" w:hAnsi="宋体" w:eastAsia="宋体"/>
          <w:sz w:val="24"/>
          <w:szCs w:val="24"/>
        </w:rPr>
        <w:t>。</w:t>
      </w:r>
    </w:p>
    <w:p w14:paraId="3FF1BD0C"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114300" distR="114300">
            <wp:extent cx="5263515" cy="2744470"/>
            <wp:effectExtent l="0" t="0" r="9525" b="13970"/>
            <wp:docPr id="978248247" name="图片 978248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48247" name="图片 97824824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34472">
      <w:pPr>
        <w:jc w:val="center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图2.4</w:t>
      </w:r>
    </w:p>
    <w:p w14:paraId="752FBFF8">
      <w:pPr>
        <w:jc w:val="center"/>
        <w:rPr>
          <w:rFonts w:hint="default" w:ascii="宋体" w:hAnsi="宋体" w:eastAsia="宋体"/>
          <w:sz w:val="24"/>
          <w:szCs w:val="24"/>
          <w:lang w:val="en-US" w:eastAsia="zh-CN"/>
        </w:rPr>
      </w:pPr>
    </w:p>
    <w:p w14:paraId="37EE5951">
      <w:pPr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5.学校负责人也可对学生申请数据进行单个审核，点击审核按钮即可。</w:t>
      </w:r>
    </w:p>
    <w:p w14:paraId="7CB911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404D5C"/>
    <w:multiLevelType w:val="singleLevel"/>
    <w:tmpl w:val="A1404D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265A9"/>
    <w:rsid w:val="2D52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2026-08-25T03:42:00Z</dcterms:created>
  <dc:creator>阿米娜·艾海提</dc:creator>
  <cp:lastModifiedBy>阿米娜·艾海提</cp:lastModifiedBy>
  <dcterms:modified xsi:type="dcterms:W3CDTF">2026-08-25T03:43:20Z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2FD971F72549417BBB9CA958D56DCDCD_11</vt:lpwstr>
  </property>
  <property fmtid="{D5CDD505-2E9C-101B-9397-08002B2CF9AE}" pid="4" name="KSOTemplateDocerSaveRecord">
    <vt:lpwstr>eyJoZGlkIjoiODMzYzUyZGQ5MzgyYmI2MzVkN2RlMWZkMTc3MDcyYWIiLCJ1c2VySWQiOiIxNDg5NzY2MzE4In0=</vt:lpwstr>
  </property>
</Properties>
</file>